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B94D6" w14:textId="5F07CE9D" w:rsidR="00845873" w:rsidRPr="00845873" w:rsidRDefault="00845873" w:rsidP="00845873">
      <w:pPr>
        <w:pStyle w:val="Standard"/>
        <w:jc w:val="both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 w:rsidRPr="00845873">
        <w:rPr>
          <w:b/>
          <w:bCs/>
          <w:sz w:val="28"/>
          <w:szCs w:val="28"/>
        </w:rPr>
        <w:t>Прокуратура района разъясняет: Подписан закон о праве работников на компенсацию в случае несвоевременного начисления заработной платы и иных выплат</w:t>
      </w:r>
    </w:p>
    <w:p w14:paraId="7779D15F" w14:textId="77777777" w:rsidR="00845873" w:rsidRPr="00845873" w:rsidRDefault="00845873" w:rsidP="00845873">
      <w:pPr>
        <w:pStyle w:val="Textbody"/>
        <w:jc w:val="both"/>
        <w:rPr>
          <w:rFonts w:hint="eastAsia"/>
          <w:sz w:val="28"/>
          <w:szCs w:val="28"/>
          <w:shd w:val="clear" w:color="auto" w:fill="FFFFFF"/>
        </w:rPr>
      </w:pPr>
      <w:r w:rsidRPr="00845873">
        <w:rPr>
          <w:color w:val="020C22"/>
          <w:sz w:val="28"/>
          <w:szCs w:val="28"/>
          <w:shd w:val="clear" w:color="auto" w:fill="FFFFFF"/>
        </w:rPr>
        <w:t>Федеральным законом от 30.01.2024 № 3-ФЗ «О внесении изменения в статью 236 Трудового кодекса Российской Федерации» </w:t>
      </w:r>
      <w:r w:rsidRPr="00845873">
        <w:rPr>
          <w:color w:val="000000"/>
          <w:sz w:val="28"/>
          <w:szCs w:val="28"/>
          <w:shd w:val="clear" w:color="auto" w:fill="FFFFFF"/>
        </w:rPr>
        <w:t>в часть первую статьи 236 ТК РФ внесены изменения, согласно которым проценты (денежная компенсация) подлежат взысканию с работодателя и в том случае, когда причитающиеся работнику выплаты не были ему начислены своевременно, а решением суда было признано право работника на их получение.</w:t>
      </w:r>
    </w:p>
    <w:p w14:paraId="17621E7A" w14:textId="487180F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Проценты (денежная компенсация) исчисляются со дня, следующего за днем, в который заработная плата и иные выплаты должны были быть выплачены при своевременном их начислении, по день фактического расчета включительно. Размер процентов должен быть не ниже 1/150 ключевой ставки Банка России от суммы долга.</w:t>
      </w:r>
    </w:p>
    <w:p w14:paraId="456D6536" w14:textId="77777777" w:rsidR="00845873" w:rsidRPr="00845873" w:rsidRDefault="00845873">
      <w:pPr>
        <w:rPr>
          <w:rFonts w:ascii="Liberation Serif" w:eastAsia="NSimSun" w:hAnsi="Liberation Serif" w:cs="Arial" w:hint="eastAsia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845873">
        <w:rPr>
          <w:rFonts w:hint="eastAsia"/>
          <w:color w:val="000000"/>
          <w:sz w:val="28"/>
          <w:szCs w:val="28"/>
          <w:shd w:val="clear" w:color="auto" w:fill="FFFFFF"/>
        </w:rPr>
        <w:br w:type="page"/>
      </w:r>
    </w:p>
    <w:p w14:paraId="3FFD3CD4" w14:textId="6EDA782E" w:rsidR="00845873" w:rsidRPr="00845873" w:rsidRDefault="00845873" w:rsidP="00845873">
      <w:pPr>
        <w:pStyle w:val="Standard"/>
        <w:jc w:val="both"/>
        <w:rPr>
          <w:rFonts w:hint="eastAsia"/>
          <w:b/>
          <w:bCs/>
          <w:sz w:val="28"/>
          <w:szCs w:val="28"/>
        </w:rPr>
      </w:pPr>
      <w:r w:rsidRPr="00845873">
        <w:rPr>
          <w:b/>
          <w:bCs/>
          <w:sz w:val="28"/>
          <w:szCs w:val="28"/>
        </w:rPr>
        <w:lastRenderedPageBreak/>
        <w:t>Прокуратура района разъясняет: Обязательства нового собственника по оплате коммунальной задолженности предыдущего собственника при покупке дома</w:t>
      </w:r>
    </w:p>
    <w:p w14:paraId="71136FA6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По общему правилу новый собственник квартиры не отвечает по долгам предыдущего, поскольку обязанность по оплате жилого помещения и коммунальных услуг лежит на каждом собственнике (ст. 210 Гражданского кодекса Российской Федерации).</w:t>
      </w:r>
    </w:p>
    <w:p w14:paraId="11AF1CF5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Однако обязанность оплатить взносы на капитальный ремонт переходит к новому собственнику.</w:t>
      </w:r>
    </w:p>
    <w:p w14:paraId="05F69AFB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Так,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ремонт, за исключением случаев, когда предыдущим собственником помещения является РФ, субъект РФ или муниципальное образование (публичное образование) (ч. 3 ст.158 Жилищного кодекса Российской Федерации).</w:t>
      </w:r>
    </w:p>
    <w:p w14:paraId="60A43698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Обязательства предыдущего собственника по оплате коммунальных услуг могут быть переведены на нового собственника только посредством совершения сделки с его согласия – перевода долга (п. п. 1, 2 ст. 391 ГК РФ).</w:t>
      </w:r>
    </w:p>
    <w:p w14:paraId="16CF53E4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В связи с этим, перед заключением договора купли-продажи настоятельно рекомендуется запросить у продавца документы, подтверждающие отсутствие у него задолженности по оплате коммунальных услуг.</w:t>
      </w:r>
    </w:p>
    <w:p w14:paraId="2AD2102C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Кроме того, в акте приема-передачи следует указать, что такая задолженность покупателю не передается.</w:t>
      </w:r>
    </w:p>
    <w:p w14:paraId="30C3FF5B" w14:textId="77777777" w:rsidR="00845873" w:rsidRPr="00845873" w:rsidRDefault="00845873">
      <w:pPr>
        <w:rPr>
          <w:rFonts w:ascii="Liberation Serif" w:eastAsia="NSimSun" w:hAnsi="Liberation Serif" w:cs="Arial" w:hint="eastAsia"/>
          <w:b/>
          <w:bCs/>
          <w:kern w:val="3"/>
          <w:sz w:val="28"/>
          <w:szCs w:val="28"/>
          <w:lang w:eastAsia="zh-CN" w:bidi="hi-IN"/>
        </w:rPr>
      </w:pPr>
      <w:r w:rsidRPr="00845873">
        <w:rPr>
          <w:rFonts w:hint="eastAsia"/>
          <w:b/>
          <w:bCs/>
          <w:sz w:val="28"/>
          <w:szCs w:val="28"/>
        </w:rPr>
        <w:br w:type="page"/>
      </w:r>
    </w:p>
    <w:p w14:paraId="57C32041" w14:textId="10D0AE86" w:rsidR="00845873" w:rsidRPr="00845873" w:rsidRDefault="00845873" w:rsidP="00845873">
      <w:pPr>
        <w:pStyle w:val="Standard"/>
        <w:jc w:val="both"/>
        <w:rPr>
          <w:rFonts w:hint="eastAsia"/>
          <w:b/>
          <w:bCs/>
          <w:sz w:val="28"/>
          <w:szCs w:val="28"/>
        </w:rPr>
      </w:pPr>
      <w:r w:rsidRPr="00845873">
        <w:rPr>
          <w:b/>
          <w:bCs/>
          <w:sz w:val="28"/>
          <w:szCs w:val="28"/>
        </w:rPr>
        <w:lastRenderedPageBreak/>
        <w:t>Прокуратура района разъясняет: Государственные услуги в области содействия занятости населения</w:t>
      </w:r>
    </w:p>
    <w:p w14:paraId="73B94742" w14:textId="68D55B41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 xml:space="preserve">В соответствии с постановлением Правительства РФ от 27.12.2023 № 2345 «О внесении изменений в постановление Правительства Российской Федерации от 16 марта 2022 г. № 376», продлевается </w:t>
      </w:r>
      <w:r w:rsidR="00893660" w:rsidRPr="00845873">
        <w:rPr>
          <w:color w:val="000000"/>
          <w:sz w:val="28"/>
          <w:szCs w:val="28"/>
          <w:shd w:val="clear" w:color="auto" w:fill="FFFFFF"/>
        </w:rPr>
        <w:t>действие мер поддержки</w:t>
      </w:r>
      <w:r w:rsidR="00893660" w:rsidRPr="00845873">
        <w:rPr>
          <w:rFonts w:hint="eastAsia"/>
          <w:color w:val="000000"/>
          <w:sz w:val="28"/>
          <w:szCs w:val="28"/>
          <w:shd w:val="clear" w:color="auto" w:fill="FFFFFF"/>
        </w:rPr>
        <w:t>,</w:t>
      </w:r>
      <w:r w:rsidRPr="00845873">
        <w:rPr>
          <w:color w:val="000000"/>
          <w:sz w:val="28"/>
          <w:szCs w:val="28"/>
          <w:shd w:val="clear" w:color="auto" w:fill="FFFFFF"/>
        </w:rPr>
        <w:t xml:space="preserve"> ищущих работу и тех, кто находится под риском увольнения.</w:t>
      </w:r>
    </w:p>
    <w:p w14:paraId="25EFB387" w14:textId="77777777" w:rsidR="00845873" w:rsidRPr="00845873" w:rsidRDefault="00845873" w:rsidP="00845873">
      <w:pPr>
        <w:pStyle w:val="Textbody"/>
        <w:jc w:val="both"/>
        <w:rPr>
          <w:rFonts w:hint="eastAsia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Согласно порядку, установленному постановлением Правительства РФ от 16.03.2022 № 376, к имеющим право воспользоваться услугами центров занятости в 2024 году относятся следующие категорий граждан:</w:t>
      </w:r>
    </w:p>
    <w:p w14:paraId="77C701F4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1. граждане, находящиеся под риском увольнения (граждане, планируемые к увольнению в связи с ликвидацией организации либо с прекращением деятельности индивидуального предпринимателя, сокращением численности или штата работников организации, индивидуального предпринимателя и возможным расторжением с ними трудовых договоров);</w:t>
      </w:r>
    </w:p>
    <w:p w14:paraId="28A2EB86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2. граждане, переведенные по инициативе работодателя на работу в режим неполного рабочего дня (смены) и (или) неполной рабочей недели;</w:t>
      </w:r>
    </w:p>
    <w:p w14:paraId="0D322D27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3. граждане, состоящие в трудовых отношениях с работодателями, которые приняли решение о простое;</w:t>
      </w:r>
    </w:p>
    <w:p w14:paraId="58FAF0DB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4. граждане, состоящие в трудовых отношениях с работодателями, в отношении которых применены процедуры о несостоятельности (банкротстве);</w:t>
      </w:r>
    </w:p>
    <w:p w14:paraId="2DF6EA89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5. граждане, находящиеся в отпусках без сохранения заработной платы;</w:t>
      </w:r>
    </w:p>
    <w:p w14:paraId="74904F9A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6. граждане, испытывающие трудности в поиске работы;</w:t>
      </w:r>
    </w:p>
    <w:p w14:paraId="5F4AABDF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7. граждане Российской Федерации, зарегистрированные по месту жительства на территориях Донецкой Народной Республики, Луганской Народной Республики, Запорожской области или Херсонской области и обратившиеся в органы службы занятости по месту своего пребывания;</w:t>
      </w:r>
    </w:p>
    <w:p w14:paraId="4EB07DA0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8. граждане, имевшие до 30 сентября 2022 г. гражданство Донецкой Народной Республики или Луганской Народной Республики, граждане Украины и лица без гражданства, зарегистрированные по месту жительства на территориях Донецкой Народной Республики, Луганской Народной Республики, Запорожской области или Херсонской области и обратившиеся в органы службы занятости по месту своего пребывания.</w:t>
      </w:r>
    </w:p>
    <w:p w14:paraId="63D04761" w14:textId="77777777" w:rsidR="00845873" w:rsidRPr="00845873" w:rsidRDefault="00845873" w:rsidP="00845873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1E994088" w14:textId="77777777" w:rsidR="00845873" w:rsidRPr="00845873" w:rsidRDefault="00845873">
      <w:pPr>
        <w:rPr>
          <w:rFonts w:ascii="Liberation Serif" w:eastAsia="NSimSun" w:hAnsi="Liberation Serif" w:cs="Arial" w:hint="eastAsia"/>
          <w:b/>
          <w:bCs/>
          <w:kern w:val="3"/>
          <w:sz w:val="28"/>
          <w:szCs w:val="28"/>
          <w:lang w:eastAsia="zh-CN" w:bidi="hi-IN"/>
        </w:rPr>
      </w:pPr>
      <w:r w:rsidRPr="00845873">
        <w:rPr>
          <w:rFonts w:hint="eastAsia"/>
          <w:b/>
          <w:bCs/>
          <w:sz w:val="28"/>
          <w:szCs w:val="28"/>
        </w:rPr>
        <w:br w:type="page"/>
      </w:r>
    </w:p>
    <w:p w14:paraId="484F2F6D" w14:textId="6A281422" w:rsidR="00845873" w:rsidRPr="00845873" w:rsidRDefault="00845873" w:rsidP="00845873">
      <w:pPr>
        <w:pStyle w:val="Standard"/>
        <w:jc w:val="both"/>
        <w:rPr>
          <w:rFonts w:hint="eastAsia"/>
          <w:b/>
          <w:bCs/>
          <w:sz w:val="28"/>
          <w:szCs w:val="28"/>
        </w:rPr>
      </w:pPr>
      <w:r w:rsidRPr="00845873">
        <w:rPr>
          <w:b/>
          <w:bCs/>
          <w:sz w:val="28"/>
          <w:szCs w:val="28"/>
        </w:rPr>
        <w:lastRenderedPageBreak/>
        <w:t>Прокуратура района разъясняет: Ответственность за оставление несовершеннолетних детей без присмотра</w:t>
      </w:r>
    </w:p>
    <w:p w14:paraId="39B03A62" w14:textId="77777777" w:rsidR="00893660" w:rsidRDefault="00893660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</w:p>
    <w:p w14:paraId="20DB449D" w14:textId="3F8DB046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Родители обязаны заботиться о здоровье, физическом, психическом, духовном и нравственном развитии своего ребенка, обеспечивать его безопасность, нести за него ответственность, а также должны защищать права и интересы ребенка.</w:t>
      </w:r>
    </w:p>
    <w:p w14:paraId="16E3F09D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За ненадлежащее исполнение родительских обязанностей предусмотрена административная и уголовная ответственность.</w:t>
      </w:r>
    </w:p>
    <w:p w14:paraId="419265A4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Так, в соответствии со ст. 5.35 КоАП РФ за ненадлежащее исполнение родительских обязанностей установлена ответственность в виде предупреждения или наложения административного штрафа в размере от 100 до 500 рублей.</w:t>
      </w:r>
    </w:p>
    <w:p w14:paraId="28521DAB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Согласно ст. 156 УК РФ установлена ответственность за неисполнение обязанностей по воспитанию ребенка, если это деяние соединено с жестоким обращением с несовершеннолетним.</w:t>
      </w:r>
    </w:p>
    <w:p w14:paraId="714901D5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Жестокое обращение может выражаться в непредоставлении питания, запирании в помещении одного на долгое время, систематическом унижении достоинства ребенка, издевательствах, нанесении побоев и др. Санкция статьи предусматривает наказание вплоть до лишения свободы на срок до трех лет.</w:t>
      </w:r>
    </w:p>
    <w:p w14:paraId="18D84AFB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В соответствии со ст. 125 УК РФ привлечение к уголовной ответственности осуществляется за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в случаях, если виновный имел возможность оказать помощь этому лицу и был обязан иметь о нем заботу, либо сам поставил его в опасное для жизни или здоровья состояние. В данном случае предусмотрено наказание до одного года лишения свободы.</w:t>
      </w:r>
    </w:p>
    <w:p w14:paraId="3CC149BD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При непосредственной угрозе жизни ребенка или его здоровью орган опеки и попечительства вправе немедленно отобрать ребенка у родителей (одного из них) или у других лиц, на попечении которых он находится.</w:t>
      </w:r>
    </w:p>
    <w:p w14:paraId="5E36A73C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  <w:r w:rsidRPr="00845873">
        <w:rPr>
          <w:color w:val="000000"/>
          <w:sz w:val="28"/>
          <w:szCs w:val="28"/>
          <w:shd w:val="clear" w:color="auto" w:fill="FFFFFF"/>
        </w:rPr>
        <w:t>Также в отношении таких родителей может быть поставлен вопрос о лишении их родительских прав в судебном порядке.</w:t>
      </w:r>
    </w:p>
    <w:p w14:paraId="71BA7EE3" w14:textId="77777777" w:rsidR="00845873" w:rsidRPr="00845873" w:rsidRDefault="00845873" w:rsidP="00845873">
      <w:pPr>
        <w:pStyle w:val="Textbody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</w:p>
    <w:p w14:paraId="4EA65B42" w14:textId="77777777" w:rsidR="00845873" w:rsidRPr="00845873" w:rsidRDefault="00845873">
      <w:pPr>
        <w:rPr>
          <w:rFonts w:ascii="Liberation Serif" w:eastAsia="NSimSun" w:hAnsi="Liberation Serif" w:cs="Arial" w:hint="eastAsia"/>
          <w:b/>
          <w:bCs/>
          <w:kern w:val="3"/>
          <w:sz w:val="28"/>
          <w:szCs w:val="28"/>
          <w:lang w:eastAsia="zh-CN" w:bidi="hi-IN"/>
        </w:rPr>
      </w:pPr>
      <w:r w:rsidRPr="00845873">
        <w:rPr>
          <w:rFonts w:hint="eastAsia"/>
          <w:b/>
          <w:bCs/>
          <w:sz w:val="28"/>
          <w:szCs w:val="28"/>
        </w:rPr>
        <w:br w:type="page"/>
      </w:r>
    </w:p>
    <w:p w14:paraId="1AA2BF5B" w14:textId="784D759F" w:rsidR="00845873" w:rsidRPr="00845873" w:rsidRDefault="00845873" w:rsidP="00845873">
      <w:pPr>
        <w:pStyle w:val="Textbody"/>
        <w:jc w:val="both"/>
        <w:rPr>
          <w:rFonts w:hint="eastAsia"/>
          <w:b/>
          <w:bCs/>
          <w:sz w:val="28"/>
          <w:szCs w:val="28"/>
        </w:rPr>
      </w:pPr>
      <w:r w:rsidRPr="00845873">
        <w:rPr>
          <w:b/>
          <w:bCs/>
          <w:sz w:val="28"/>
          <w:szCs w:val="28"/>
        </w:rPr>
        <w:lastRenderedPageBreak/>
        <w:t xml:space="preserve">Прокуратура района разъясняет: </w:t>
      </w:r>
      <w:r w:rsidRPr="00845873">
        <w:rPr>
          <w:rStyle w:val="StrongEmphasis"/>
          <w:sz w:val="28"/>
          <w:szCs w:val="28"/>
        </w:rPr>
        <w:t>Подписан закон о запрете создания новых скотомогильников</w:t>
      </w:r>
    </w:p>
    <w:p w14:paraId="7093C752" w14:textId="7624FFF0" w:rsidR="00845873" w:rsidRPr="00845873" w:rsidRDefault="00845873" w:rsidP="00845873">
      <w:pPr>
        <w:pStyle w:val="Textbody"/>
        <w:jc w:val="both"/>
        <w:rPr>
          <w:rFonts w:hint="eastAsia"/>
          <w:sz w:val="28"/>
          <w:szCs w:val="28"/>
        </w:rPr>
      </w:pPr>
      <w:r w:rsidRPr="00845873">
        <w:rPr>
          <w:sz w:val="28"/>
          <w:szCs w:val="28"/>
        </w:rPr>
        <w:t>Федеральный закон от 12.12.2023 N 582-ФЗ «О внесении изменений в отдельные законодательные акты Российской Федерации» устанавливает, что создание новых скотомогильников запрещается с 1 сентября 2024 года. Скотомогильники, за исключением скотомогильников, содержащих биологические отходы, зараженные возбудителем сибирской язвы, подлежат ликвидации в течение 25 лет со дня завершения их эксплуатации. Содержание, эксплуатация и ликвидация скотомогильников должны осуществляться в соответствии с ветеринарными правилами.</w:t>
      </w:r>
    </w:p>
    <w:p w14:paraId="705276A5" w14:textId="665F6617" w:rsidR="00845873" w:rsidRPr="00845873" w:rsidRDefault="00845873" w:rsidP="00845873">
      <w:pPr>
        <w:pStyle w:val="Textbody"/>
        <w:jc w:val="both"/>
        <w:rPr>
          <w:rFonts w:hint="eastAsia"/>
          <w:sz w:val="28"/>
          <w:szCs w:val="28"/>
        </w:rPr>
      </w:pPr>
      <w:r w:rsidRPr="00845873">
        <w:rPr>
          <w:sz w:val="28"/>
          <w:szCs w:val="28"/>
        </w:rPr>
        <w:t>Кроме этого, Закон РФ «О ветеринарии» дополнен положениями, закрепляющими особенности обращения с биологическими отходами, под которыми понимаются останки животных и другие объекты животного происхождения, являющиеся результатом ветеринарной деятельности, а также учета организаций и граждан, осуществляющих обращение с биологическими отходами, и объектов уничтожения биологических отходов. В Федеральную государственную информационную систему в области ветеринарии подлежит включению в том числе информация об организациях и о гражданах, осуществляющих обращение с биологическими отходами, и об объектах уничтожения биологических отходов. Запрещается уничтожение особо опасных биологических отходов в скотомогильниках. Настоящий федеральный закон вступает в силу с 1 марта 2025 года. Эксплуатация ранее созданных скотомогильников в целях уничтожения умеренно опасных биологических отходов допускается до 1 января 2030 года.</w:t>
      </w:r>
    </w:p>
    <w:p w14:paraId="269E7A79" w14:textId="77777777" w:rsidR="00845873" w:rsidRPr="00845873" w:rsidRDefault="00845873" w:rsidP="00845873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628DFE43" w14:textId="77777777" w:rsidR="005F1580" w:rsidRPr="00845873" w:rsidRDefault="005F1580">
      <w:pPr>
        <w:rPr>
          <w:sz w:val="28"/>
          <w:szCs w:val="28"/>
        </w:rPr>
      </w:pPr>
    </w:p>
    <w:sectPr w:rsidR="005F1580" w:rsidRPr="0084587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80"/>
    <w:rsid w:val="00194163"/>
    <w:rsid w:val="00287470"/>
    <w:rsid w:val="005F1580"/>
    <w:rsid w:val="00607919"/>
    <w:rsid w:val="00845873"/>
    <w:rsid w:val="0089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4867"/>
  <w15:chartTrackingRefBased/>
  <w15:docId w15:val="{20654A84-8415-4C8F-80D0-B064FC8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4587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45873"/>
    <w:pPr>
      <w:spacing w:after="140" w:line="276" w:lineRule="auto"/>
    </w:pPr>
  </w:style>
  <w:style w:type="character" w:customStyle="1" w:styleId="StrongEmphasis">
    <w:name w:val="Strong Emphasis"/>
    <w:rsid w:val="00845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Тимирбаева Анастасия Сергеевна</dc:creator>
  <cp:keywords/>
  <dc:description/>
  <cp:lastModifiedBy>Ахтямов Алмаз Нафисович</cp:lastModifiedBy>
  <cp:revision>2</cp:revision>
  <dcterms:created xsi:type="dcterms:W3CDTF">2024-07-03T19:29:00Z</dcterms:created>
  <dcterms:modified xsi:type="dcterms:W3CDTF">2024-07-03T19:29:00Z</dcterms:modified>
</cp:coreProperties>
</file>